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350" w:rsidRDefault="00955350" w:rsidP="00955350">
      <w:pPr>
        <w:jc w:val="right"/>
      </w:pPr>
      <w:bookmarkStart w:id="0" w:name="_GoBack"/>
      <w:bookmarkEnd w:id="0"/>
      <w:r>
        <w:t>Утверждена</w:t>
      </w:r>
    </w:p>
    <w:p w:rsidR="00955350" w:rsidRDefault="00955350" w:rsidP="00955350">
      <w:pPr>
        <w:jc w:val="right"/>
      </w:pPr>
      <w:r>
        <w:t>постановлением Правительства</w:t>
      </w:r>
    </w:p>
    <w:p w:rsidR="00955350" w:rsidRDefault="00955350" w:rsidP="00955350">
      <w:pPr>
        <w:jc w:val="right"/>
      </w:pPr>
      <w:r>
        <w:t>Российской Федерации</w:t>
      </w:r>
    </w:p>
    <w:p w:rsidR="00955350" w:rsidRDefault="00955350" w:rsidP="00955350">
      <w:pPr>
        <w:jc w:val="right"/>
      </w:pPr>
      <w:r>
        <w:t>от 29 декабря 2025 г. N 2188</w:t>
      </w:r>
    </w:p>
    <w:p w:rsidR="00955350" w:rsidRPr="00955350" w:rsidRDefault="00955350" w:rsidP="00955350">
      <w:pPr>
        <w:jc w:val="center"/>
        <w:rPr>
          <w:b/>
        </w:rPr>
      </w:pPr>
      <w:r w:rsidRPr="00955350">
        <w:rPr>
          <w:b/>
        </w:rPr>
        <w:t>ПРОГРАММА</w:t>
      </w:r>
    </w:p>
    <w:p w:rsidR="00955350" w:rsidRPr="00955350" w:rsidRDefault="00955350" w:rsidP="00955350">
      <w:pPr>
        <w:jc w:val="center"/>
        <w:rPr>
          <w:b/>
        </w:rPr>
      </w:pPr>
      <w:r w:rsidRPr="00955350">
        <w:rPr>
          <w:b/>
        </w:rPr>
        <w:t>ГОСУДАРСТВЕННЫХ ГАРАНТИЙ БЕСПЛАТНОГО ОКАЗАНИЯ ГРАЖДАНАМ</w:t>
      </w:r>
    </w:p>
    <w:p w:rsidR="00955350" w:rsidRPr="00955350" w:rsidRDefault="00955350" w:rsidP="00955350">
      <w:pPr>
        <w:jc w:val="center"/>
        <w:rPr>
          <w:b/>
        </w:rPr>
      </w:pPr>
      <w:r w:rsidRPr="00955350">
        <w:rPr>
          <w:b/>
        </w:rPr>
        <w:t>МЕДИЦИНСКОЙ ПОМОЩИ НА 2026 ГОД И НА ПЛАНОВЫЙ ПЕРИОД</w:t>
      </w:r>
    </w:p>
    <w:p w:rsidR="00955350" w:rsidRPr="00955350" w:rsidRDefault="00955350" w:rsidP="00955350">
      <w:pPr>
        <w:jc w:val="center"/>
        <w:rPr>
          <w:b/>
        </w:rPr>
      </w:pPr>
      <w:r w:rsidRPr="00955350">
        <w:rPr>
          <w:b/>
        </w:rPr>
        <w:t>2027 И 2028 ГОДОВ</w:t>
      </w:r>
    </w:p>
    <w:p w:rsidR="00955350" w:rsidRPr="00955350" w:rsidRDefault="00955350" w:rsidP="00955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350">
        <w:rPr>
          <w:rFonts w:ascii="Times New Roman" w:hAnsi="Times New Roman" w:cs="Times New Roman"/>
          <w:b/>
          <w:sz w:val="24"/>
          <w:szCs w:val="24"/>
        </w:rPr>
        <w:t>VIII. Критерии доступности и качества медицинской помощи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Критериями доступности медицинской помощи являются: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удовлетворенность населения, в том числе городского и сельского населения,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доступностью медицинской помощи (процентов числа опрошенных);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расходов на оказание медицинской помощи в условиях дневных стационаров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общих расходах на территориальную программу государственных гарантий;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расходов на оказание медицинской помощи в амбулаторных условиях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неотложной форме в общих расходах на территориальную программу государственных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гарантий;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получивших специализированную медицинскую помощь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стационарных условиях в федеральных медицинских организациях, в общем количестве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пациентов, которым была оказана специализированная медицинская помощь в стационарных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условиях в рамках территориальной программы обязательного медицинского страхования;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посещений выездной патронажной службой на дому для оказания паллиативной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медицинской помощи детскому населению в общем количестве посещений по паллиативной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медицинской помощи детскому населению;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количество пациентов, которым оказана паллиативная медицинская помощь по месту 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фактического пребывания за пределами субъекта Российской Федерации, на территории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которого указанные пациенты зарегистрированы по месту жительства;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количество пациентов, зарегистрированных на территории субъекта Российской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Федерации по месту жительства, на оказание паллиативной медицинской помощи которым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медицинских организациях других субъектов Российской Федерации компенсированы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lastRenderedPageBreak/>
        <w:t>затраты на основании межрегионального соглашения;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страдающих хроническими неинфекционными заболеваниями, взятых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под диспансерное наблюдение, в общем количестве пациентов, страдающих хроническими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неинфекционными заболеваниями;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находящихся в стационарных организациях социального обслуживания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и страдающих хроническими неинфекционными заболеваниями, получивших медицинскую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помощь в рамках диспансерного наблюдения;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граждан, обеспеченных лекарственными препаратами, в общем количестве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льготных категорий граждан;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детей в возрасте от 2 до 17 лет с диагнозом "сахарный диабет", обеспеченных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медицинскими изделиями для непрерывного мониторинга уровня глюкозы в крови;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количество случаев лечения в стационарных условиях на одну занятую должность врача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медицинского подразделения, оказывающего специализированную, в том числе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высокотехнологичную, медицинскую помощь;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оперативная активность на одну занятую должность врача хирургической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специальности.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Критериями качества медицинской помощи являются: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впервые выявленных заболеваний при профилактических медицинских осмотрах,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том числе в рамках диспансеризации, в общем количестве впервые в жизни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зарегистрированных заболеваний в течение года;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впервые выявленных заболеваний при профилактических медицинских осмотрах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несовершеннолетних в общем количестве впервые в жизни зарегистрированных заболеваний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в течение года у несовершеннолетних;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впервые выявленных онкологических заболеваний при профилактических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медицинских осмотрах, в том числе в рамках диспансеризации, в общем количестве впервые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жизни зарегистрированных онкологических заболеваний в течение года;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впервые выявленных онкологических заболеваний при профилактических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медицинских осмотрах, в том числе в рамках диспансеризации, в общем количестве лиц,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прошедших указанные осмотры;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со злокачественными новообразованиями, взятых под диспансерное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lastRenderedPageBreak/>
        <w:t>наблюдение, в общем количестве пациентов со злокачественными новообразованиями;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 инфарктом миокарда, госпитализированных в первые 12 часов от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начала заболевания, в общем количестве госпитализированных пациентов с инфарктом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миокарда;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 xml:space="preserve">доля пациентов с острым инфарктом миокарда, которым проведено 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стентирование</w:t>
      </w:r>
      <w:proofErr w:type="spellEnd"/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коронарных артерий, в общем количестве пациентов с острым инфарктом миокарда,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 xml:space="preserve">имеющих показания к проведению 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стентирования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 острым и повторным инфарктом миокарда, которым выездной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 xml:space="preserve">бригадой скорой медицинской помощи проведен 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тромболизис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, в общем количестве пациентов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 острым и повторным инфарктом миокарда, имеющих показания к проведению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тромболизиса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, которым оказана медицинская помощь выездными бригадами скорой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медицинской помощи;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 xml:space="preserve">доля пациентов с острым инфарктом миокарда, которым проведена 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тромболитическая</w:t>
      </w:r>
      <w:proofErr w:type="spellEnd"/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терапия в первые 12 часов от начала заболевания, в общем количестве пациентов с острым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инфарктом миокарда, имеющих показания к ее проведению;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работающих граждан, состоящих на учете по поводу хронического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неинфекционного заболевания, которым проведено диспансерное наблюдение работающего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гражданина в соответствии с Программой;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 острыми цереброваскулярными болезнями, госпитализированных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первые 6 часов от начала заболевания, в общем количестве госпитализированных в первичные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сосудистые отделения или региональные сосудистые центры пациентов с острыми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цереброваскулярными болезнями;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 острым ишемическим инсультом, которым проведена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тромболитическая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 xml:space="preserve"> терапия, в общем количестве пациентов с острым ишемическим инсультом,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госпитализированных в первичные сосудистые отделения или региональные сосудистые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центры в первые 6 часов от начала заболевания;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 острым ишемическим инсультом, которым проведена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тромболитическая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 xml:space="preserve"> терапия, в общем количестве пациентов с острым ишемическим инсультом,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lastRenderedPageBreak/>
        <w:t>госпитализированных в первичные сосудистые отделения или региональные сосудистые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центры;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получающих обезболивание в рамках оказания паллиативной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медицинской помощи, в общем количестве пациентов, нуждающихся в обезболивании при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оказании паллиативной медицинской помощи;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получающих лечебное (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энтеральное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) питание в рамках оказания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паллиативной медицинской помощи, в общем количестве пациентов, нуждающихся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лечебном (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энтеральном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) питании при оказании паллиативной медицинской помощи;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лиц репродуктивного возраста, прошедших диспансеризацию, по оценке 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репродуктивного здоровья (отдельно по мужчинам и женщинам);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обследованных перед проведением вспомогательных репродуктивных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технологий в соответствии с критериями качества проведения программ вспомогательных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репродуктивных технологий клинических рекомендаций "Женское бесплодие";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число циклов экстракорпорального оплодотворения, выполняемых медицинской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организацией, в течение одного года;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случаев экстракорпорального оплодотворения, по результатам которого у женщины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наступила беременность;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женщин, у которых беременность после применения процедуры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экстракорпорального оплодотворения (циклов с переносом эмбрионов) завершилась родами,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общем количестве женщин, которым были проведены процедуры экстракорпорального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оплодотворения (циклы с переносом эмбрионов);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количество обоснованных жалоб, в том числе на несоблюдение сроков ожидания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оказания и на отказ в оказании медицинской помощи, предоставляемой в рамках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территориальной программы государственных гарантий;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охват диспансерным наблюдением граждан, состоящих на учете в медицинской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 xml:space="preserve">организации с диагнозом "хроническая 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 xml:space="preserve"> болезнь легких" (процентов в год);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 с диагнозом "хроническая сердечная недостаточность", находящихся под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диспансерным наблюдением, получающих лекарственное обеспечение;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охват диспансерным наблюдением граждан, состоящих на учете в медицинской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организации с диагнозом "гипертоническая болезнь" (процентов в год);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охват диспансерным наблюдением граждан, состоящих на учете в медицинской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lastRenderedPageBreak/>
        <w:t>организации с диагнозом "сахарный диабет" (процентов в год);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количество пациентов с гепатитом C, получивших противовирусную терапию (на 100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тыс. населения в год);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ветеранов боевых действий, получивших паллиативную медицинскую помощь 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(или) лечебное (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энтеральное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) питание, в общем количестве нуждающихся;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коэффициент выполнения функции врачебной должности в расчете на одного врача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разрезе специальностей амбулаторно-поликлинической медицинской организации, имеющей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прикрепленное население, как отношение годового фактического объема посещений врача к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плановому (нормативному) объему посещений;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пациентов, прооперированных в течение 2 дней после поступления в стационар по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поводу перелома шейки бедра, в общем количестве прооперированных по поводу указанного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диагноза.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Территориальной программой государственных гарантий устанавливаются целевые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значения критериев доступности и качества медицинской помощи, на основе которых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проводится комплексная оценка их уровня и динамики, а также могут быть установлены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дополнительные критерии доступности и качества медицинской помощи.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Целевые значения критериев доступности и качества медицинской помощи на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соответствующий год не могут отличаться от значений показателей и (или) результатов,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установленных в федеральных проектах национального проекта "Продолжительная 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активная жизнь", в том числе в федеральном проекте "Здоровье для каждого".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Оценка достижения критериев доступности и качества медицинской помощи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осуществляется субъектами Российской Федерации один раз в полгода с направлением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соответствующих данных в Министерство здравоохранения Российской Федерации.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Кроме того, субъектами Российской Федерации проводится оценка эффективности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деятельности медицинских организаций, в том числе расположенных в городской и сельской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местности (на основе выполнения функции врачебной должности, показателей использования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коечного фонда).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Критериями доступности медицинской помощи, оказываемой федеральными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lastRenderedPageBreak/>
        <w:t>медицинскими организациями, являются: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объема средств, направленных на оказание специализированной, в том числе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высокотехнологичной, медицинской помощи с коэффициентом относительной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50">
        <w:rPr>
          <w:rFonts w:ascii="Times New Roman" w:hAnsi="Times New Roman" w:cs="Times New Roman"/>
          <w:sz w:val="24"/>
          <w:szCs w:val="24"/>
        </w:rPr>
        <w:t>затратоемкости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, равным 2 и более, в общем объеме средств, направленных на оказание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специализированной, в том числе высокотехнологичной, медицинской помощи, за вычетом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объема средств, направленных на оказание специализированной медицинской помощи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 xml:space="preserve">экстренной форме с коэффициентом относительной </w:t>
      </w:r>
      <w:proofErr w:type="spellStart"/>
      <w:r w:rsidRPr="00955350">
        <w:rPr>
          <w:rFonts w:ascii="Times New Roman" w:hAnsi="Times New Roman" w:cs="Times New Roman"/>
          <w:sz w:val="24"/>
          <w:szCs w:val="24"/>
        </w:rPr>
        <w:t>затратоемкости</w:t>
      </w:r>
      <w:proofErr w:type="spellEnd"/>
      <w:r w:rsidRPr="00955350">
        <w:rPr>
          <w:rFonts w:ascii="Times New Roman" w:hAnsi="Times New Roman" w:cs="Times New Roman"/>
          <w:sz w:val="24"/>
          <w:szCs w:val="24"/>
        </w:rPr>
        <w:t>, равным менее 2 (для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образовательных организаций высшего образования, осуществляющих оказание медицинской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помощи в 2026 - 2028 годах, - не менее 65 процентов, для остальных федеральных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медицинских организаций в 2026 году - не менее 75 процентов, в 2027 - 2028 годах - не менее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80 процентов (за исключением объема средств, направленных на оказание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специализированной, в том числе высокотехнологичной, медицинской помощи, в отношении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федеральных медицинских организаций, в том числе их структурных подразделений,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расположенных на территории закрытого административно-территориального образования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или являющихся единственными медицинскими организациями в муниципальном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образовании, оказывающими специализированную медицинскую помощь, или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единственными медицинскими организациями, оказывающими высокотехнологичную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медицинскую помощь);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случаев оказания специализированной, в том числе высокотехнологичной,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медицинской помощи лицам, застрахованным не в субъектах Российской Федерации, в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которых расположены федеральная медицинская организация или ее структурные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подразделения, где оказывается такая медицинская помощь (в 2026 - 2028 годах - не менее 50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процентов) (за исключением федеральных медицинских организаций, в том числе 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структурных подразделений, расположенных на территории закрытого административно-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территориального образования или являющихся единственными медицинскими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организациями в муниципальном образовании, оказывающими специализированную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медицинскую помощь, или единственными медицинскими организациями, оказывающими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высокотехнологичную медицинскую помощь, а также медицинских организаций,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lastRenderedPageBreak/>
        <w:t>подведомственных федеральным органам исполнительной власти, в которых федеральными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законами предусмотрена военная служба или приравненная к ней служба, медицинских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организаций, подведомственных федеральным органам исполнительной власти, руководство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деятельностью которых осуществляет Президент Российской Федерации);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доля доходов за счет средств обязательного медицинского страхования в общем объеме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доходов федеральной медицинской организации (целевое значение для медицинских</w:t>
      </w:r>
    </w:p>
    <w:p w:rsidR="00955350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организаций, оказывающих медицинскую помощь при заболеваниях и состояниях, входящих</w:t>
      </w:r>
    </w:p>
    <w:p w:rsidR="007934B2" w:rsidRPr="00955350" w:rsidRDefault="00955350" w:rsidP="00955350">
      <w:pPr>
        <w:jc w:val="both"/>
        <w:rPr>
          <w:rFonts w:ascii="Times New Roman" w:hAnsi="Times New Roman" w:cs="Times New Roman"/>
          <w:sz w:val="24"/>
          <w:szCs w:val="24"/>
        </w:rPr>
      </w:pPr>
      <w:r w:rsidRPr="00955350">
        <w:rPr>
          <w:rFonts w:ascii="Times New Roman" w:hAnsi="Times New Roman" w:cs="Times New Roman"/>
          <w:sz w:val="24"/>
          <w:szCs w:val="24"/>
        </w:rPr>
        <w:t>в базовую программу обязательного медицинского страхования, - не менее 20 процентов</w:t>
      </w:r>
    </w:p>
    <w:p w:rsidR="00955350" w:rsidRDefault="00955350" w:rsidP="00955350">
      <w:pPr>
        <w:jc w:val="both"/>
      </w:pPr>
    </w:p>
    <w:sectPr w:rsidR="00955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B322E"/>
    <w:multiLevelType w:val="multilevel"/>
    <w:tmpl w:val="8096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732295"/>
    <w:multiLevelType w:val="multilevel"/>
    <w:tmpl w:val="BC3A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B5"/>
    <w:rsid w:val="00530A59"/>
    <w:rsid w:val="007934B2"/>
    <w:rsid w:val="00955350"/>
    <w:rsid w:val="00A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BCAEC-D41C-4927-99C2-34F711D8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5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5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955350"/>
    <w:rPr>
      <w:b/>
      <w:bCs/>
    </w:rPr>
  </w:style>
  <w:style w:type="character" w:styleId="a4">
    <w:name w:val="Hyperlink"/>
    <w:basedOn w:val="a0"/>
    <w:uiPriority w:val="99"/>
    <w:semiHidden/>
    <w:unhideWhenUsed/>
    <w:rsid w:val="009553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Севрюков Михаил Борисович</cp:lastModifiedBy>
  <cp:revision>2</cp:revision>
  <dcterms:created xsi:type="dcterms:W3CDTF">2026-09-03T05:58:00Z</dcterms:created>
  <dcterms:modified xsi:type="dcterms:W3CDTF">2026-09-03T05:58:00Z</dcterms:modified>
</cp:coreProperties>
</file>